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631FB" w:rsidRPr="000631FB" w:rsidTr="000631FB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DC3" w:rsidRPr="002A0D21" w:rsidRDefault="009F6DC3" w:rsidP="009F6DC3">
            <w:pPr>
              <w:pStyle w:val="Titolo"/>
              <w:rPr>
                <w:szCs w:val="36"/>
              </w:rPr>
            </w:pPr>
            <w:bookmarkStart w:id="0" w:name="_GoBack"/>
            <w:bookmarkEnd w:id="0"/>
            <w:r w:rsidRPr="002A0D21">
              <w:rPr>
                <w:szCs w:val="36"/>
              </w:rPr>
              <w:t>SEGRETARIATO GENERALE</w:t>
            </w:r>
          </w:p>
          <w:p w:rsidR="009F6DC3" w:rsidRPr="002A0D21" w:rsidRDefault="009F6DC3" w:rsidP="009F6DC3">
            <w:pPr>
              <w:jc w:val="center"/>
              <w:rPr>
                <w:color w:val="000000"/>
                <w:sz w:val="36"/>
                <w:szCs w:val="36"/>
                <w:highlight w:val="yellow"/>
              </w:rPr>
            </w:pPr>
            <w:r w:rsidRPr="002A0D21">
              <w:rPr>
                <w:rFonts w:ascii="Arial" w:hAnsi="Arial" w:cs="Arial"/>
                <w:sz w:val="36"/>
                <w:szCs w:val="36"/>
              </w:rPr>
              <w:t>Dipartimento per i servizi strumentali</w:t>
            </w:r>
          </w:p>
          <w:p w:rsidR="000631FB" w:rsidRPr="002A0D21" w:rsidRDefault="009F6DC3" w:rsidP="002A0D21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9F6DC3">
              <w:rPr>
                <w:sz w:val="20"/>
                <w:szCs w:val="20"/>
                <w:highlight w:val="yellow"/>
              </w:rPr>
              <w:t xml:space="preserve">            </w:t>
            </w:r>
            <w:r w:rsidRPr="002B22EA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56"/>
                <w:szCs w:val="56"/>
                <w:highlight w:val="red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8A3D9CE" wp14:editId="20E79BD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-1760855</wp:posOffset>
                  </wp:positionV>
                  <wp:extent cx="6346190" cy="175260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9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1FB" w:rsidRPr="00DC1828" w:rsidTr="00493585">
        <w:trPr>
          <w:tblCellSpacing w:w="0" w:type="dxa"/>
        </w:trPr>
        <w:tc>
          <w:tcPr>
            <w:tcW w:w="4780" w:type="pct"/>
            <w:vAlign w:val="center"/>
            <w:hideMark/>
          </w:tcPr>
          <w:p w:rsidR="000631FB" w:rsidRPr="00DC1828" w:rsidRDefault="000631FB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631FB" w:rsidRPr="00DC18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31FB" w:rsidRPr="002A0D21" w:rsidRDefault="000631FB" w:rsidP="000631FB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it-IT"/>
                    </w:rPr>
                  </w:pPr>
                  <w:r w:rsidRPr="002A0D21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it-IT"/>
                    </w:rPr>
                    <w:t>AVVISO</w:t>
                  </w:r>
                  <w:r w:rsidR="009F6DC3" w:rsidRPr="002A0D21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it-IT"/>
                    </w:rPr>
                    <w:t xml:space="preserve"> </w:t>
                  </w:r>
                </w:p>
                <w:p w:rsidR="000631FB" w:rsidRPr="00DC1828" w:rsidRDefault="002E38AF" w:rsidP="000631F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</w:pPr>
                  <w:r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Comunicazione delle modalità per l’a</w:t>
                  </w:r>
                  <w:r w:rsidR="000775B6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ffidamento della gestione</w:t>
                  </w:r>
                  <w:r w:rsidR="000631F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 del servizi</w:t>
                  </w:r>
                  <w:r w:rsidR="008B733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o</w:t>
                  </w:r>
                  <w:r w:rsidR="000631F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 di micronido aziendale dell</w:t>
                  </w:r>
                  <w:r w:rsidR="009F6DC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a Presidenza del Consiglio dei </w:t>
                  </w:r>
                  <w:r w:rsidR="0050066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M</w:t>
                  </w:r>
                  <w:r w:rsidR="000631F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inistri, presso la sede di via della Mercede</w:t>
                  </w:r>
                  <w:r w:rsidR="0050066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,</w:t>
                  </w:r>
                  <w:r w:rsidR="000631F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 n.</w:t>
                  </w:r>
                  <w:r w:rsidR="0050066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 </w:t>
                  </w:r>
                  <w:r w:rsidR="000631F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96 – 00187 </w:t>
                  </w:r>
                  <w:r w:rsidR="00DC1828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–</w:t>
                  </w:r>
                  <w:r w:rsidR="000631FB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 xml:space="preserve"> Roma</w:t>
                  </w:r>
                  <w:r w:rsidR="00DC1828" w:rsidRPr="00DC182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  <w:t>.</w:t>
                  </w:r>
                </w:p>
                <w:p w:rsidR="00DC1828" w:rsidRPr="00DC1828" w:rsidRDefault="00DC1828" w:rsidP="000631F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</w:p>
                <w:p w:rsidR="00DC1828" w:rsidRPr="00DC1828" w:rsidRDefault="00DC1828" w:rsidP="00DC1828">
                  <w:pPr>
                    <w:spacing w:before="100" w:beforeAutospacing="1" w:after="100" w:afterAutospacing="1" w:line="36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r w:rsidRPr="00DC1828">
                    <w:rPr>
                      <w:rFonts w:ascii="Arial" w:hAnsi="Arial" w:cs="Arial"/>
                      <w:b/>
                    </w:rPr>
                    <w:t xml:space="preserve">Si rende noto che la </w:t>
                  </w:r>
                  <w:r w:rsidRPr="00DC1828">
                    <w:rPr>
                      <w:rFonts w:ascii="Arial" w:hAnsi="Arial" w:cs="Arial"/>
                      <w:b/>
                      <w:i/>
                    </w:rPr>
                    <w:t>Presidenza del Consiglio dei ministri – Dipartimento per i servizi strumentali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-  intende espletare una </w:t>
                  </w:r>
                  <w:r>
                    <w:rPr>
                      <w:rFonts w:ascii="Arial" w:hAnsi="Arial" w:cs="Arial"/>
                      <w:b/>
                    </w:rPr>
                    <w:t xml:space="preserve">procedura </w:t>
                  </w:r>
                  <w:r w:rsidR="00DC6628">
                    <w:rPr>
                      <w:rFonts w:ascii="Arial" w:hAnsi="Arial" w:cs="Arial"/>
                      <w:b/>
                    </w:rPr>
                    <w:t>di gara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per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l’affidamento del servizio indicato in oggetto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174BF">
                    <w:rPr>
                      <w:rFonts w:ascii="Arial" w:hAnsi="Arial" w:cs="Arial"/>
                      <w:b/>
                    </w:rPr>
                    <w:t>ai sensi del combinato disposto dall’art. 36, comma 2, lett. b) e</w:t>
                  </w:r>
                  <w:r>
                    <w:rPr>
                      <w:rFonts w:ascii="Arial" w:hAnsi="Arial" w:cs="Arial"/>
                      <w:b/>
                    </w:rPr>
                    <w:t xml:space="preserve"> dall’art. 142, comma 5 – octies 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del </w:t>
                  </w:r>
                  <w:r>
                    <w:rPr>
                      <w:rFonts w:ascii="Arial" w:hAnsi="Arial" w:cs="Arial"/>
                      <w:b/>
                    </w:rPr>
                    <w:t>decreto legislativo 18 aprile 2016, n. 50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. Il presente avviso, finalizzato </w:t>
                  </w:r>
                  <w:r>
                    <w:rPr>
                      <w:rFonts w:ascii="Arial" w:hAnsi="Arial" w:cs="Arial"/>
                      <w:b/>
                    </w:rPr>
                    <w:t>alla mera comunicazione delle modalità d’affidamento del predetto servizio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, non costituisce proposta contrattuale </w:t>
                  </w:r>
                  <w:r w:rsidR="00BB266E">
                    <w:rPr>
                      <w:rFonts w:ascii="Arial" w:hAnsi="Arial" w:cs="Arial"/>
                      <w:b/>
                    </w:rPr>
                    <w:t>né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vincola in </w:t>
                  </w:r>
                  <w:r>
                    <w:rPr>
                      <w:rFonts w:ascii="Arial" w:hAnsi="Arial" w:cs="Arial"/>
                      <w:b/>
                    </w:rPr>
                    <w:t>alcun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modo l’Amministrazione</w:t>
                  </w:r>
                  <w:r w:rsidR="00BB266E">
                    <w:rPr>
                      <w:rFonts w:ascii="Arial" w:hAnsi="Arial" w:cs="Arial"/>
                      <w:b/>
                    </w:rPr>
                    <w:t xml:space="preserve"> verso</w:t>
                  </w:r>
                  <w:r>
                    <w:rPr>
                      <w:rFonts w:ascii="Arial" w:hAnsi="Arial" w:cs="Arial"/>
                      <w:b/>
                    </w:rPr>
                    <w:t xml:space="preserve"> i soggetti </w:t>
                  </w:r>
                  <w:r w:rsidR="00BB266E">
                    <w:rPr>
                      <w:rFonts w:ascii="Arial" w:hAnsi="Arial" w:cs="Arial"/>
                      <w:b/>
                    </w:rPr>
                    <w:t xml:space="preserve">eventualmente </w:t>
                  </w:r>
                  <w:r>
                    <w:rPr>
                      <w:rFonts w:ascii="Arial" w:hAnsi="Arial" w:cs="Arial"/>
                      <w:b/>
                    </w:rPr>
                    <w:t>interessati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B266E">
                    <w:rPr>
                      <w:rFonts w:ascii="Arial" w:hAnsi="Arial" w:cs="Arial"/>
                      <w:b/>
                    </w:rPr>
                    <w:t xml:space="preserve">che non potranno </w:t>
                  </w:r>
                  <w:r w:rsidRPr="00DC1828">
                    <w:rPr>
                      <w:rFonts w:ascii="Arial" w:hAnsi="Arial" w:cs="Arial"/>
                      <w:b/>
                    </w:rPr>
                    <w:t>vantare</w:t>
                  </w:r>
                  <w:r w:rsidR="00BB266E">
                    <w:rPr>
                      <w:rFonts w:ascii="Arial" w:hAnsi="Arial" w:cs="Arial"/>
                      <w:b/>
                    </w:rPr>
                    <w:t>, in merito al presente avviso,</w:t>
                  </w:r>
                  <w:r w:rsidRPr="00DC1828">
                    <w:rPr>
                      <w:rFonts w:ascii="Arial" w:hAnsi="Arial" w:cs="Arial"/>
                      <w:b/>
                    </w:rPr>
                    <w:t xml:space="preserve"> alcuna pretesa</w:t>
                  </w:r>
                  <w:r>
                    <w:rPr>
                      <w:rFonts w:ascii="Arial" w:hAnsi="Arial" w:cs="Arial"/>
                      <w:b/>
                    </w:rPr>
                    <w:t xml:space="preserve"> o titolo di qualsivoglia natura.</w:t>
                  </w:r>
                </w:p>
                <w:tbl>
                  <w:tblPr>
                    <w:tblW w:w="9639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  <w:gridCol w:w="5679"/>
                  </w:tblGrid>
                  <w:tr w:rsidR="000631FB" w:rsidRPr="00DC1828" w:rsidTr="00A02651">
                    <w:trPr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0631FB" w:rsidRPr="00DC1828" w:rsidRDefault="000631FB" w:rsidP="00160B7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  <w:t xml:space="preserve">Dipartimento 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  <w:t>– U</w:t>
                        </w:r>
                        <w:r w:rsidRPr="00DC1828"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  <w:t>fficio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  <w:t xml:space="preserve"> competente per la fase dell’affidamento</w:t>
                        </w:r>
                      </w:p>
                      <w:p w:rsidR="00160B7A" w:rsidRPr="00DC1828" w:rsidRDefault="00160B7A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</w:pPr>
                      </w:p>
                      <w:p w:rsidR="00160B7A" w:rsidRPr="00DC1828" w:rsidRDefault="00160B7A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</w:pPr>
                      </w:p>
                      <w:p w:rsidR="00160B7A" w:rsidRPr="00DC1828" w:rsidRDefault="00160B7A" w:rsidP="00DC662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bCs/>
                            <w:lang w:eastAsia="it-IT"/>
                          </w:rPr>
                          <w:t>Dipartimento competente per la fase dell’esecuzione</w:t>
                        </w: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0631FB" w:rsidRPr="00DC1828" w:rsidRDefault="000631FB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Dipartimento per i servizi strumentali - Ufficio patrimonio, gare e contratti – Servizio gare e contratti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.</w:t>
                        </w:r>
                      </w:p>
                      <w:p w:rsidR="00160B7A" w:rsidRPr="00DC1828" w:rsidRDefault="00160B7A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160B7A" w:rsidRPr="00DC1828" w:rsidRDefault="00160B7A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160B7A" w:rsidRDefault="00160B7A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Dipartimento per il personale</w:t>
                        </w:r>
                        <w:r w:rsidR="0050066F">
                          <w:rPr>
                            <w:rFonts w:ascii="Arial" w:eastAsia="Times New Roman" w:hAnsi="Arial" w:cs="Arial"/>
                            <w:lang w:eastAsia="it-IT"/>
                          </w:rPr>
                          <w:t>.</w:t>
                        </w:r>
                      </w:p>
                      <w:p w:rsidR="00111378" w:rsidRPr="00DC1828" w:rsidRDefault="00111378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0631FB" w:rsidRPr="00DC1828" w:rsidTr="00A02651">
                    <w:trPr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Oggetto dell'appalto</w:t>
                        </w:r>
                      </w:p>
                      <w:p w:rsidR="00FA3435" w:rsidRPr="00DC1828" w:rsidRDefault="00FA343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FA3435" w:rsidRPr="00DC1828" w:rsidRDefault="00FA343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FA3435" w:rsidRPr="00DC1828" w:rsidRDefault="00FA343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FA3435" w:rsidRPr="00DC1828" w:rsidRDefault="00FA343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FA3435" w:rsidRPr="00DC1828" w:rsidRDefault="00FA343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FA3435" w:rsidRDefault="00FA343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Categoria</w:t>
                        </w:r>
                      </w:p>
                      <w:p w:rsidR="00111378" w:rsidRPr="00DC1828" w:rsidRDefault="00111378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D81831" w:rsidRDefault="00D81831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0631FB" w:rsidRPr="00DC1828" w:rsidRDefault="000631FB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Gestione del servizio di micronido aziendale della Presidenza del Consiglio dei Ministri, presso la sede di via della Mercede, n.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96 – </w:t>
                        </w:r>
                        <w:r w:rsidR="00A02651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C.A.P. </w:t>
                        </w: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00187 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–</w:t>
                        </w: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Roma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, per un numero massimo di </w:t>
                        </w:r>
                        <w:r w:rsidR="0050066F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(12) 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dodici bambini, in età compresa dai </w:t>
                        </w:r>
                        <w:r w:rsidR="0050066F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(3) </w:t>
                        </w:r>
                        <w:r w:rsidR="00160B7A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tre ai </w:t>
                        </w:r>
                        <w:r w:rsidR="0050066F">
                          <w:rPr>
                            <w:rFonts w:ascii="Arial" w:eastAsia="Times New Roman" w:hAnsi="Arial" w:cs="Arial"/>
                            <w:lang w:eastAsia="it-IT"/>
                          </w:rPr>
                          <w:t>(36) trentasei mesi.</w:t>
                        </w:r>
                      </w:p>
                      <w:p w:rsidR="00FA3435" w:rsidRPr="00DC1828" w:rsidRDefault="00FA3435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FA3435" w:rsidRDefault="00511E4A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it-IT"/>
                          </w:rPr>
                          <w:t>A</w:t>
                        </w:r>
                        <w:r w:rsidR="00FA343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l</w:t>
                        </w:r>
                        <w:r w:rsidR="00753017">
                          <w:rPr>
                            <w:rFonts w:ascii="Arial" w:eastAsia="Times New Roman" w:hAnsi="Arial" w:cs="Arial"/>
                            <w:lang w:eastAsia="it-IT"/>
                          </w:rPr>
                          <w:t>legato IX – Codice CPV 85312110</w:t>
                        </w:r>
                        <w:r w:rsidR="002A0D21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- 3 </w:t>
                        </w:r>
                        <w:r w:rsidR="00FA343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- Servizi forniti da centri diurni per bambini</w:t>
                        </w:r>
                        <w:r w:rsidR="0050066F">
                          <w:rPr>
                            <w:rFonts w:ascii="Arial" w:eastAsia="Times New Roman" w:hAnsi="Arial" w:cs="Arial"/>
                            <w:lang w:eastAsia="it-IT"/>
                          </w:rPr>
                          <w:t>.</w:t>
                        </w:r>
                      </w:p>
                      <w:p w:rsidR="00111378" w:rsidRPr="00DC1828" w:rsidRDefault="00111378" w:rsidP="00A02651">
                        <w:pPr>
                          <w:spacing w:after="0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0631FB" w:rsidRPr="00DC1828" w:rsidTr="00A02651">
                    <w:trPr>
                      <w:trHeight w:val="1392"/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111378" w:rsidRDefault="00111378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Modalità di affidamento</w:t>
                        </w: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111378" w:rsidRDefault="00111378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Criteri di scelta del contraente</w:t>
                        </w:r>
                      </w:p>
                      <w:p w:rsidR="000775B6" w:rsidRPr="00DC1828" w:rsidRDefault="000775B6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775B6" w:rsidRDefault="000775B6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2F35B9" w:rsidRDefault="002F35B9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2F35B9" w:rsidRPr="00DC1828" w:rsidRDefault="002F35B9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775B6" w:rsidRPr="00DC1828" w:rsidRDefault="000775B6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775B6" w:rsidRPr="00DC1828" w:rsidRDefault="000775B6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Criteri di aggiudicazione</w:t>
                        </w: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0631FB" w:rsidRPr="00DC1828" w:rsidRDefault="000631FB" w:rsidP="00A02651">
                        <w:pPr>
                          <w:spacing w:before="100" w:beforeAutospacing="1" w:after="100" w:afterAutospacing="1" w:line="240" w:lineRule="auto"/>
                          <w:ind w:left="24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Procedura negoziata semplificata su MePA, ai sensi del combinato disposto dall’art. 36, comma 2, lett. b) e dall’ art. 142, comma 5 – octies del decreto legislativo 18 aprile 2016, n. 50, previa pubblicazione di uno specifico Avviso sul Profilo del Committente</w:t>
                        </w:r>
                        <w:r w:rsidR="0049358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– Sezione Amministrazione trasparente</w:t>
                        </w:r>
                        <w:r w:rsidR="005A2F26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– Sotto sezione bandi e contratti</w:t>
                        </w:r>
                        <w:r w:rsidR="002E38AF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r w:rsidR="00DC66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- </w:t>
                        </w:r>
                        <w:r w:rsidR="002E38AF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per la comunicazione delle suddette modalità.</w:t>
                        </w:r>
                      </w:p>
                      <w:p w:rsidR="00A02651" w:rsidRDefault="000775B6" w:rsidP="002A0D21">
                        <w:pPr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Ricorso all’elenco degli operatori economici </w:t>
                        </w:r>
                        <w:r w:rsidR="008B733B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del </w:t>
                        </w:r>
                        <w:r w:rsidR="0049358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MePA </w:t>
                        </w:r>
                        <w:r w:rsidR="008B733B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ed </w:t>
                        </w:r>
                        <w:r w:rsidR="0049358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iscritti alla pertinente categoria merceologica – </w:t>
                        </w:r>
                        <w:r w:rsidR="00493585" w:rsidRPr="00E17191">
                          <w:rPr>
                            <w:rFonts w:ascii="Arial" w:eastAsia="Times New Roman" w:hAnsi="Arial" w:cs="Arial"/>
                            <w:i/>
                            <w:lang w:eastAsia="it-IT"/>
                          </w:rPr>
                          <w:t xml:space="preserve">Servizi sociali – servizio di gestione nido e </w:t>
                        </w:r>
                        <w:r w:rsidR="00493585" w:rsidRPr="004F403C">
                          <w:rPr>
                            <w:rFonts w:ascii="Arial" w:eastAsia="Times New Roman" w:hAnsi="Arial" w:cs="Arial"/>
                            <w:i/>
                            <w:lang w:eastAsia="it-IT"/>
                          </w:rPr>
                          <w:t>micronido</w:t>
                        </w:r>
                        <w:r w:rsidR="005A2F26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–</w:t>
                        </w:r>
                        <w:r w:rsidR="005A2F26" w:rsidRPr="00D81831">
                          <w:rPr>
                            <w:rFonts w:ascii="Arial" w:eastAsia="Times New Roman" w:hAnsi="Arial" w:cs="Arial"/>
                            <w:highlight w:val="yellow"/>
                            <w:lang w:eastAsia="it-IT"/>
                          </w:rPr>
                          <w:t xml:space="preserve"> </w:t>
                        </w:r>
                        <w:r w:rsidR="00753017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attraverso RdO rivolta a tutti, </w:t>
                        </w:r>
                        <w:r w:rsidR="00D81831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entro e non oltre le ore 12:00 del giorno martedì 20 marzo 2018</w:t>
                        </w:r>
                        <w:r w:rsidR="008B733B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.</w:t>
                        </w:r>
                        <w:r w:rsidR="0049358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</w:p>
                      <w:p w:rsidR="000775B6" w:rsidRPr="00DC1828" w:rsidRDefault="000775B6" w:rsidP="00A02651">
                        <w:pPr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Offerta</w:t>
                        </w:r>
                        <w:r w:rsidR="00D81831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economicamente più vantaggiosa.</w:t>
                        </w:r>
                      </w:p>
                    </w:tc>
                  </w:tr>
                  <w:tr w:rsidR="000631FB" w:rsidRPr="00DC1828" w:rsidTr="00A02651">
                    <w:trPr>
                      <w:trHeight w:val="2059"/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0631FB" w:rsidRPr="00DC1828" w:rsidRDefault="00FA3435" w:rsidP="00A026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Importo massimo presunto</w:t>
                        </w: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0631FB" w:rsidRPr="004F403C" w:rsidRDefault="000631FB" w:rsidP="00511E4A">
                        <w:pPr>
                          <w:spacing w:before="100" w:beforeAutospacing="1" w:after="100" w:afterAutospacing="1" w:line="240" w:lineRule="auto"/>
                          <w:ind w:left="263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€ </w:t>
                        </w:r>
                        <w:r w:rsidR="005A2F26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218.320,00 (Iva esente</w:t>
                        </w:r>
                        <w:r w:rsidR="00D81831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,</w:t>
                        </w:r>
                        <w:r w:rsidR="005A2F26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ai sens</w:t>
                        </w:r>
                        <w:r w:rsidR="00D81831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i dell’art. 10, comma 1, n. 21 </w:t>
                        </w:r>
                        <w:r w:rsidR="005A2F26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del D.P.R. 26 ottobre 1972, n. 633</w:t>
                        </w:r>
                        <w:r w:rsidR="000775B6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)</w:t>
                        </w:r>
                        <w:r w:rsidR="00D81831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,</w:t>
                        </w:r>
                        <w:r w:rsidR="005A2F26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così ripartito:</w:t>
                        </w:r>
                      </w:p>
                      <w:p w:rsidR="005A2F26" w:rsidRPr="004F403C" w:rsidRDefault="005A2F26" w:rsidP="00A02651">
                        <w:pPr>
                          <w:spacing w:before="100" w:beforeAutospacing="1" w:after="100" w:afterAutospacing="1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Anno 2018 -  € </w:t>
                        </w:r>
                        <w:r w:rsidR="0050066F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39.694,55:</w:t>
                        </w:r>
                      </w:p>
                      <w:p w:rsidR="005A2F26" w:rsidRPr="004F403C" w:rsidRDefault="005A2F26" w:rsidP="00A02651">
                        <w:pPr>
                          <w:spacing w:before="100" w:beforeAutospacing="1" w:after="100" w:afterAutospacing="1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Anno 2019 - € 109.160,00</w:t>
                        </w:r>
                        <w:r w:rsidR="002A0D21">
                          <w:rPr>
                            <w:rFonts w:ascii="Arial" w:eastAsia="Times New Roman" w:hAnsi="Arial" w:cs="Arial"/>
                            <w:lang w:eastAsia="it-IT"/>
                          </w:rPr>
                          <w:t>;</w:t>
                        </w:r>
                      </w:p>
                      <w:p w:rsidR="005A2F26" w:rsidRPr="004F403C" w:rsidRDefault="005A2F26" w:rsidP="00A02651">
                        <w:pPr>
                          <w:spacing w:before="100" w:beforeAutospacing="1" w:after="100" w:afterAutospacing="1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Anno 2020 - € </w:t>
                        </w:r>
                        <w:r w:rsidR="002A0D21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 </w:t>
                        </w: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69.465,45.</w:t>
                        </w:r>
                      </w:p>
                    </w:tc>
                  </w:tr>
                  <w:tr w:rsidR="000631FB" w:rsidRPr="00DC1828" w:rsidTr="00A02651">
                    <w:trPr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FA3435" w:rsidRPr="00DC1828" w:rsidRDefault="00140ABD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Rilevanza dell’appalto</w:t>
                        </w:r>
                      </w:p>
                      <w:p w:rsidR="00140ABD" w:rsidRDefault="00140ABD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2F35B9" w:rsidRPr="00DC1828" w:rsidRDefault="002F35B9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493585" w:rsidRPr="00DC1828" w:rsidRDefault="0049358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Durata della prestazione</w:t>
                        </w:r>
                      </w:p>
                      <w:p w:rsidR="00493585" w:rsidRDefault="0049358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CIG</w:t>
                        </w: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140ABD" w:rsidRPr="00DC1828" w:rsidRDefault="00140ABD" w:rsidP="00511E4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E174BF">
                          <w:rPr>
                            <w:rFonts w:ascii="Arial" w:eastAsia="Times New Roman" w:hAnsi="Arial" w:cs="Arial"/>
                            <w:lang w:eastAsia="it-IT"/>
                          </w:rPr>
                          <w:t>Sotto soglia, ai sensi dell’art. 35, comma 1, lett. d) del decreto legislativo 18 aprile 2016, n. 50.</w:t>
                        </w:r>
                        <w:r w:rsidR="00D81831" w:rsidRPr="00E174BF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</w:p>
                      <w:p w:rsidR="000631FB" w:rsidRPr="004F403C" w:rsidRDefault="00493585" w:rsidP="00A02651">
                        <w:pPr>
                          <w:spacing w:before="100" w:beforeAutospacing="1" w:after="100" w:afterAutospacing="1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1</w:t>
                        </w:r>
                        <w:r w:rsidR="00D81831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>°</w:t>
                        </w:r>
                        <w:r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settembre 2018 – 31 luglio 2020</w:t>
                        </w:r>
                        <w:r w:rsidR="000631FB" w:rsidRPr="004F403C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</w:t>
                        </w:r>
                      </w:p>
                      <w:p w:rsidR="00A02651" w:rsidRPr="00DC1828" w:rsidRDefault="004F403C" w:rsidP="004F403C">
                        <w:pPr>
                          <w:spacing w:before="100" w:beforeAutospacing="1" w:after="100" w:afterAutospacing="1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it-IT"/>
                          </w:rPr>
                          <w:t>7381610944</w:t>
                        </w:r>
                      </w:p>
                    </w:tc>
                  </w:tr>
                  <w:tr w:rsidR="000631FB" w:rsidRPr="00DC1828" w:rsidTr="00A02651">
                    <w:trPr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RUP</w:t>
                        </w:r>
                      </w:p>
                      <w:p w:rsidR="00493585" w:rsidRPr="00DC1828" w:rsidRDefault="00493585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0631FB" w:rsidRPr="00DC1828" w:rsidRDefault="0050066F" w:rsidP="005006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it-IT"/>
                          </w:rPr>
                          <w:t>D</w:t>
                        </w:r>
                        <w:r w:rsidR="00DC66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ott. ssa </w:t>
                        </w:r>
                        <w:r w:rsidR="000631FB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Cristina PANATTONI</w:t>
                        </w:r>
                      </w:p>
                      <w:p w:rsidR="005A2F26" w:rsidRPr="00DC1828" w:rsidRDefault="007509B4" w:rsidP="002A0D2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hyperlink r:id="rId6" w:history="1">
                          <w:r w:rsidR="002A0D21" w:rsidRPr="00F4433A">
                            <w:rPr>
                              <w:rStyle w:val="Collegamentoipertestuale"/>
                              <w:rFonts w:ascii="Arial" w:eastAsia="Times New Roman" w:hAnsi="Arial" w:cs="Arial"/>
                              <w:lang w:eastAsia="it-IT"/>
                            </w:rPr>
                            <w:t>rupmicronido@pec.governo.it</w:t>
                          </w:r>
                        </w:hyperlink>
                        <w:r w:rsidR="00DC66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– tel. 0667792443</w:t>
                        </w:r>
                      </w:p>
                    </w:tc>
                  </w:tr>
                  <w:tr w:rsidR="000631FB" w:rsidRPr="00DC1828" w:rsidTr="00A02651">
                    <w:trPr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A02651" w:rsidRDefault="00A02651" w:rsidP="000775B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493585" w:rsidRDefault="00493585" w:rsidP="000775B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D</w:t>
                        </w:r>
                        <w:r w:rsidR="00A02651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ata prevista per il lancio </w:t>
                        </w:r>
                        <w:r w:rsidR="00A02651"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della </w:t>
                        </w:r>
                        <w:r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RdO da parte della Stazione appaltante</w:t>
                        </w:r>
                      </w:p>
                      <w:p w:rsidR="00111378" w:rsidRPr="00DC1828" w:rsidRDefault="00111378" w:rsidP="000775B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634" w:type="dxa"/>
                        <w:vAlign w:val="center"/>
                        <w:hideMark/>
                      </w:tcPr>
                      <w:p w:rsidR="000631FB" w:rsidRPr="002F35B9" w:rsidRDefault="00140ABD" w:rsidP="00A02651">
                        <w:pPr>
                          <w:spacing w:before="100" w:beforeAutospacing="1" w:after="100" w:afterAutospacing="1" w:line="240" w:lineRule="auto"/>
                          <w:ind w:left="24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>20</w:t>
                        </w:r>
                        <w:r w:rsidR="00D81831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marzo 2018 – ore 1</w:t>
                        </w:r>
                        <w:r w:rsidR="00A02651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>3</w:t>
                        </w:r>
                        <w:r w:rsidR="00D81831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>:0</w:t>
                        </w:r>
                        <w:r w:rsidR="00A02651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>0</w:t>
                        </w:r>
                      </w:p>
                      <w:p w:rsidR="00A02651" w:rsidRPr="00DC1828" w:rsidRDefault="00A02651" w:rsidP="00A0265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  <w:tr w:rsidR="000631FB" w:rsidRPr="00DC1828" w:rsidTr="00A02651">
                    <w:trPr>
                      <w:tblCellSpacing w:w="15" w:type="dxa"/>
                    </w:trPr>
                    <w:tc>
                      <w:tcPr>
                        <w:tcW w:w="3915" w:type="dxa"/>
                        <w:vAlign w:val="center"/>
                        <w:hideMark/>
                      </w:tcPr>
                      <w:p w:rsidR="00493585" w:rsidRPr="00DC1828" w:rsidRDefault="00493585" w:rsidP="000775B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Data di scadenza </w:t>
                        </w:r>
                        <w:r w:rsidR="00111378"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di </w:t>
                        </w:r>
                        <w:r w:rsidR="000775B6"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invio su MePA </w:t>
                        </w:r>
                        <w:r w:rsidR="00111378"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delle </w:t>
                        </w:r>
                        <w:r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offert</w:t>
                        </w:r>
                        <w:r w:rsidR="00111378"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e:</w:t>
                        </w:r>
                        <w:r w:rsidRPr="004F403C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 tecnica ed economica</w:t>
                        </w:r>
                      </w:p>
                      <w:p w:rsidR="008B733B" w:rsidRPr="00DC1828" w:rsidRDefault="008B733B" w:rsidP="000775B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</w:p>
                      <w:p w:rsidR="008B733B" w:rsidRPr="00DC1828" w:rsidRDefault="008B733B" w:rsidP="000775B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Obbligo di sopralluogo</w:t>
                        </w:r>
                      </w:p>
                      <w:p w:rsidR="000631FB" w:rsidRPr="00DC1828" w:rsidRDefault="000631FB" w:rsidP="000631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0775B6" w:rsidRPr="00DC1828" w:rsidRDefault="000775B6" w:rsidP="002A0D21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Determina a </w:t>
                        </w:r>
                        <w:r w:rsidR="00511E4A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contrarre</w:t>
                        </w:r>
                        <w:r w:rsidR="002A0D21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 xml:space="preserve"> d</w:t>
                        </w:r>
                        <w:r w:rsidR="00511E4A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e</w:t>
                        </w:r>
                        <w:r w:rsidRPr="00DC1828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l Segretario generale</w:t>
                        </w:r>
                      </w:p>
                    </w:tc>
                    <w:tc>
                      <w:tcPr>
                        <w:tcW w:w="5634" w:type="dxa"/>
                        <w:vAlign w:val="center"/>
                      </w:tcPr>
                      <w:p w:rsidR="000631FB" w:rsidRPr="002F35B9" w:rsidRDefault="00140ABD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20</w:t>
                        </w:r>
                        <w:r w:rsidR="00493585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 aprile 2018 </w:t>
                        </w:r>
                        <w:r w:rsidR="00493585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 xml:space="preserve">– ore </w:t>
                        </w:r>
                        <w:r w:rsidR="00111378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>13</w:t>
                        </w:r>
                        <w:r w:rsidR="00493585" w:rsidRPr="002F35B9">
                          <w:rPr>
                            <w:rFonts w:ascii="Arial" w:eastAsia="Times New Roman" w:hAnsi="Arial" w:cs="Arial"/>
                            <w:lang w:eastAsia="it-IT"/>
                          </w:rPr>
                          <w:t>:00</w:t>
                        </w:r>
                      </w:p>
                      <w:p w:rsidR="008B733B" w:rsidRPr="002F35B9" w:rsidRDefault="008B733B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8B733B" w:rsidRPr="00DC1828" w:rsidRDefault="008B733B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493585" w:rsidRPr="00DC1828" w:rsidRDefault="008B733B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Si</w:t>
                        </w:r>
                        <w:r w:rsidR="008E5EF6">
                          <w:rPr>
                            <w:rFonts w:ascii="Arial" w:eastAsia="Times New Roman" w:hAnsi="Arial" w:cs="Arial"/>
                            <w:lang w:eastAsia="it-IT"/>
                          </w:rPr>
                          <w:t>, a seguito della RdO</w:t>
                        </w:r>
                      </w:p>
                      <w:p w:rsidR="008B733B" w:rsidRPr="00DC1828" w:rsidRDefault="008B733B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  <w:p w:rsidR="000775B6" w:rsidRDefault="008B733B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3</w:t>
                        </w:r>
                        <w:r w:rsidR="000775B6" w:rsidRPr="00DC1828">
                          <w:rPr>
                            <w:rFonts w:ascii="Arial" w:eastAsia="Times New Roman" w:hAnsi="Arial" w:cs="Arial"/>
                            <w:lang w:eastAsia="it-IT"/>
                          </w:rPr>
                          <w:t>0 gennaio 2018</w:t>
                        </w:r>
                      </w:p>
                      <w:p w:rsidR="00A02651" w:rsidRPr="00DC1828" w:rsidRDefault="00A02651" w:rsidP="00A02651">
                        <w:pPr>
                          <w:spacing w:after="0" w:line="240" w:lineRule="auto"/>
                          <w:ind w:left="263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</w:tbl>
                <w:p w:rsidR="000631FB" w:rsidRPr="00DC1828" w:rsidRDefault="000631FB" w:rsidP="000631FB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</w:tr>
          </w:tbl>
          <w:p w:rsidR="000631FB" w:rsidRPr="00DC1828" w:rsidRDefault="000631FB" w:rsidP="000631F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4D1802" w:rsidRDefault="004D1802"/>
    <w:p w:rsidR="0050066F" w:rsidRDefault="0050066F"/>
    <w:p w:rsidR="0050066F" w:rsidRPr="0050066F" w:rsidRDefault="0050066F" w:rsidP="0050066F">
      <w:pPr>
        <w:spacing w:line="240" w:lineRule="auto"/>
        <w:jc w:val="center"/>
        <w:rPr>
          <w:rFonts w:ascii="Arial" w:hAnsi="Arial" w:cs="Arial"/>
          <w:b/>
        </w:rPr>
      </w:pPr>
      <w:r w:rsidRPr="0050066F">
        <w:rPr>
          <w:rFonts w:ascii="Arial" w:hAnsi="Arial" w:cs="Arial"/>
          <w:b/>
        </w:rPr>
        <w:t>IL CAPO DEL DIPARTIMENTO</w:t>
      </w:r>
    </w:p>
    <w:p w:rsidR="0050066F" w:rsidRPr="0050066F" w:rsidRDefault="0050066F" w:rsidP="0050066F">
      <w:pPr>
        <w:spacing w:line="240" w:lineRule="auto"/>
        <w:jc w:val="center"/>
        <w:rPr>
          <w:rFonts w:ascii="Arial" w:hAnsi="Arial" w:cs="Arial"/>
          <w:b/>
        </w:rPr>
      </w:pPr>
      <w:r w:rsidRPr="0050066F">
        <w:rPr>
          <w:rFonts w:ascii="Arial" w:hAnsi="Arial" w:cs="Arial"/>
          <w:b/>
        </w:rPr>
        <w:t>Cons. Renato CATALANO</w:t>
      </w:r>
    </w:p>
    <w:sectPr w:rsidR="0050066F" w:rsidRPr="0050066F" w:rsidSect="002A0D2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7491D"/>
    <w:multiLevelType w:val="multilevel"/>
    <w:tmpl w:val="33B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FB"/>
    <w:rsid w:val="000631FB"/>
    <w:rsid w:val="00071D48"/>
    <w:rsid w:val="000775B6"/>
    <w:rsid w:val="00111378"/>
    <w:rsid w:val="00140ABD"/>
    <w:rsid w:val="00160B7A"/>
    <w:rsid w:val="002A0D21"/>
    <w:rsid w:val="002B22EA"/>
    <w:rsid w:val="002E38AF"/>
    <w:rsid w:val="002F35B9"/>
    <w:rsid w:val="003775F9"/>
    <w:rsid w:val="003920ED"/>
    <w:rsid w:val="00493585"/>
    <w:rsid w:val="004D1802"/>
    <w:rsid w:val="004F403C"/>
    <w:rsid w:val="0050066F"/>
    <w:rsid w:val="00511E4A"/>
    <w:rsid w:val="005A2F26"/>
    <w:rsid w:val="00645F1C"/>
    <w:rsid w:val="007452B9"/>
    <w:rsid w:val="007509B4"/>
    <w:rsid w:val="00753017"/>
    <w:rsid w:val="008B733B"/>
    <w:rsid w:val="008E5EF6"/>
    <w:rsid w:val="009F6DC3"/>
    <w:rsid w:val="00A02651"/>
    <w:rsid w:val="00AB200A"/>
    <w:rsid w:val="00BB266E"/>
    <w:rsid w:val="00CE1225"/>
    <w:rsid w:val="00D81831"/>
    <w:rsid w:val="00DC1828"/>
    <w:rsid w:val="00DC6628"/>
    <w:rsid w:val="00E17191"/>
    <w:rsid w:val="00E174BF"/>
    <w:rsid w:val="00F16E10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7290-A339-4629-BD35-6DB5E7F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2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C6628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9F6DC3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6DC3"/>
    <w:rPr>
      <w:rFonts w:ascii="Times New Roman" w:eastAsia="Calibri" w:hAnsi="Times New Roman" w:cs="Times New Roman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micronido@pec.govern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Betti</dc:creator>
  <cp:keywords/>
  <dc:description/>
  <cp:lastModifiedBy>Merzi Elia</cp:lastModifiedBy>
  <cp:revision>2</cp:revision>
  <cp:lastPrinted>2018-02-14T14:00:00Z</cp:lastPrinted>
  <dcterms:created xsi:type="dcterms:W3CDTF">2018-02-14T15:46:00Z</dcterms:created>
  <dcterms:modified xsi:type="dcterms:W3CDTF">2018-02-14T15:46:00Z</dcterms:modified>
</cp:coreProperties>
</file>